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C6" w:rsidRPr="003F15C6" w:rsidRDefault="00C83024" w:rsidP="003F15C6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Cs w:val="28"/>
          <w:lang w:val="ru-RU"/>
        </w:rPr>
      </w:pPr>
      <w:r w:rsidRPr="00FD7BB1">
        <w:rPr>
          <w:bCs/>
          <w:color w:val="000000"/>
          <w:szCs w:val="28"/>
        </w:rPr>
        <w:t>ОГОЛОШЕННЯ</w:t>
      </w:r>
    </w:p>
    <w:p w:rsidR="00116C4C" w:rsidRPr="00956C89" w:rsidRDefault="00C83024" w:rsidP="003F15C6">
      <w:pPr>
        <w:shd w:val="clear" w:color="auto" w:fill="FFFFFF"/>
        <w:spacing w:line="240" w:lineRule="auto"/>
        <w:ind w:firstLine="0"/>
        <w:jc w:val="center"/>
        <w:rPr>
          <w:bCs/>
          <w:szCs w:val="28"/>
          <w:lang w:val="ru-RU"/>
        </w:rPr>
      </w:pPr>
      <w:r w:rsidRPr="00FD7BB1">
        <w:rPr>
          <w:bCs/>
          <w:szCs w:val="28"/>
        </w:rPr>
        <w:t xml:space="preserve">про добір </w:t>
      </w:r>
      <w:r w:rsidR="000745ED" w:rsidRPr="00FD7BB1">
        <w:rPr>
          <w:bCs/>
          <w:szCs w:val="28"/>
        </w:rPr>
        <w:t>на зайняття посади державної служби категорії «В»</w:t>
      </w:r>
    </w:p>
    <w:p w:rsidR="00FD7BB1" w:rsidRPr="00FD7BB1" w:rsidRDefault="00FD7BB1" w:rsidP="004D453C">
      <w:pPr>
        <w:spacing w:line="240" w:lineRule="auto"/>
        <w:ind w:firstLine="0"/>
        <w:rPr>
          <w:bCs/>
          <w:i/>
          <w:iCs/>
          <w:szCs w:val="28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3F15C6">
            <w:pPr>
              <w:pStyle w:val="Default"/>
              <w:jc w:val="both"/>
            </w:pPr>
            <w:r w:rsidRPr="004D453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4D453C" w:rsidRDefault="00116C4C" w:rsidP="00AC3156">
            <w:pPr>
              <w:pStyle w:val="12"/>
              <w:ind w:right="125"/>
              <w:jc w:val="both"/>
              <w:outlineLvl w:val="8"/>
              <w:rPr>
                <w:bCs/>
                <w:sz w:val="24"/>
                <w:szCs w:val="24"/>
              </w:rPr>
            </w:pPr>
            <w:r w:rsidRPr="004D453C">
              <w:rPr>
                <w:bCs/>
                <w:sz w:val="24"/>
                <w:szCs w:val="24"/>
              </w:rPr>
              <w:t>Державний кадастровий реєстратор</w:t>
            </w:r>
            <w:r w:rsidR="0055000A" w:rsidRPr="004D453C">
              <w:rPr>
                <w:bCs/>
                <w:sz w:val="24"/>
                <w:szCs w:val="24"/>
              </w:rPr>
              <w:t xml:space="preserve"> відділу </w:t>
            </w:r>
            <w:r w:rsidR="00F33438">
              <w:rPr>
                <w:bCs/>
                <w:sz w:val="24"/>
                <w:szCs w:val="24"/>
              </w:rPr>
              <w:t>№ 2</w:t>
            </w:r>
            <w:r w:rsidR="00AC3156">
              <w:rPr>
                <w:bCs/>
                <w:sz w:val="24"/>
                <w:szCs w:val="24"/>
              </w:rPr>
              <w:t xml:space="preserve"> управління надання адміністративних послуг</w:t>
            </w:r>
            <w:r w:rsidR="0055000A" w:rsidRPr="004D453C">
              <w:rPr>
                <w:bCs/>
                <w:sz w:val="24"/>
                <w:szCs w:val="24"/>
              </w:rPr>
              <w:t xml:space="preserve"> Головного управління </w:t>
            </w:r>
            <w:proofErr w:type="spellStart"/>
            <w:r w:rsidR="0055000A" w:rsidRPr="004D453C">
              <w:rPr>
                <w:bCs/>
                <w:sz w:val="24"/>
                <w:szCs w:val="24"/>
              </w:rPr>
              <w:t>Держгеокадастру</w:t>
            </w:r>
            <w:proofErr w:type="spellEnd"/>
            <w:r w:rsidR="0055000A" w:rsidRPr="004D453C">
              <w:rPr>
                <w:bCs/>
                <w:sz w:val="24"/>
                <w:szCs w:val="24"/>
              </w:rPr>
              <w:t xml:space="preserve"> в Івано-Франківській області</w:t>
            </w:r>
          </w:p>
        </w:tc>
      </w:tr>
      <w:tr w:rsidR="00C93D61" w:rsidRPr="004D453C" w:rsidTr="00C93D61">
        <w:tc>
          <w:tcPr>
            <w:tcW w:w="3543" w:type="dxa"/>
            <w:gridSpan w:val="2"/>
          </w:tcPr>
          <w:p w:rsidR="00C93D61" w:rsidRPr="004D453C" w:rsidRDefault="00C93D61" w:rsidP="00C93D61">
            <w:pPr>
              <w:pStyle w:val="Default"/>
            </w:pPr>
            <w:r w:rsidRPr="004D453C">
              <w:t>Посадові обов’язки</w:t>
            </w:r>
          </w:p>
        </w:tc>
        <w:tc>
          <w:tcPr>
            <w:tcW w:w="6805" w:type="dxa"/>
          </w:tcPr>
          <w:p w:rsidR="00FF4AC9" w:rsidRDefault="00FF4AC9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</w:rPr>
            </w:pPr>
            <w:bookmarkStart w:id="0" w:name="n100"/>
            <w:bookmarkEnd w:id="0"/>
            <w:r>
              <w:rPr>
                <w:sz w:val="24"/>
                <w:szCs w:val="24"/>
              </w:rPr>
              <w:t xml:space="preserve">- </w:t>
            </w:r>
            <w:r w:rsidRPr="00FF4AC9">
              <w:rPr>
                <w:sz w:val="24"/>
                <w:szCs w:val="24"/>
              </w:rPr>
              <w:t>внесення відомостей (змін до них) про об’єкти Державного земельного кадастру та надання відомостей про них, або надання відмов у внесенні та наданні таких відомостей</w:t>
            </w:r>
            <w:r>
              <w:rPr>
                <w:sz w:val="24"/>
                <w:szCs w:val="24"/>
              </w:rPr>
              <w:t xml:space="preserve">, </w:t>
            </w:r>
            <w:r w:rsidRPr="004D453C">
              <w:rPr>
                <w:sz w:val="24"/>
                <w:szCs w:val="24"/>
                <w:lang w:eastAsia="uk-UA" w:bidi="uk-UA"/>
              </w:rPr>
              <w:t>здійснення державної реєстрації земельних ділянок, обмежень у їх використанні</w:t>
            </w:r>
            <w:r>
              <w:rPr>
                <w:sz w:val="24"/>
                <w:szCs w:val="24"/>
                <w:lang w:eastAsia="uk-UA" w:bidi="uk-UA"/>
              </w:rPr>
              <w:t>;</w:t>
            </w:r>
          </w:p>
          <w:p w:rsidR="00FF4AC9" w:rsidRDefault="00FF4AC9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  <w:lang w:eastAsia="uk-UA" w:bidi="uk-UA"/>
              </w:rPr>
            </w:pPr>
            <w:r>
              <w:rPr>
                <w:sz w:val="24"/>
                <w:szCs w:val="24"/>
              </w:rPr>
              <w:t>- здійснення виправлення</w:t>
            </w:r>
            <w:r w:rsidR="00C93D61" w:rsidRPr="004D453C">
              <w:rPr>
                <w:sz w:val="24"/>
                <w:szCs w:val="24"/>
              </w:rPr>
              <w:t xml:space="preserve"> помилок у відомостях Державного земельного кадастру щодо об’єктів Державного земельного кадастру відповідно до повноважень Відділу;</w:t>
            </w:r>
            <w:r w:rsidR="00C93D61" w:rsidRPr="004D453C">
              <w:rPr>
                <w:sz w:val="24"/>
                <w:szCs w:val="24"/>
                <w:lang w:eastAsia="uk-UA" w:bidi="uk-UA"/>
              </w:rPr>
              <w:t xml:space="preserve"> підготовка статистичн</w:t>
            </w:r>
            <w:r w:rsidR="00C93D61" w:rsidRPr="004D453C">
              <w:rPr>
                <w:kern w:val="2"/>
                <w:sz w:val="24"/>
                <w:szCs w:val="24"/>
                <w:lang w:eastAsia="uk-UA" w:bidi="uk-UA"/>
              </w:rPr>
              <w:t>ої</w:t>
            </w:r>
            <w:r w:rsidR="00C93D61" w:rsidRPr="004D453C">
              <w:rPr>
                <w:sz w:val="24"/>
                <w:szCs w:val="24"/>
                <w:lang w:eastAsia="uk-UA" w:bidi="uk-UA"/>
              </w:rPr>
              <w:t xml:space="preserve"> звітн</w:t>
            </w:r>
            <w:r w:rsidR="00C93D61" w:rsidRPr="004D453C">
              <w:rPr>
                <w:kern w:val="2"/>
                <w:sz w:val="24"/>
                <w:szCs w:val="24"/>
                <w:lang w:eastAsia="uk-UA" w:bidi="uk-UA"/>
              </w:rPr>
              <w:t>о</w:t>
            </w:r>
            <w:r w:rsidR="00C93D61" w:rsidRPr="004D453C">
              <w:rPr>
                <w:sz w:val="24"/>
                <w:szCs w:val="24"/>
                <w:lang w:eastAsia="uk-UA" w:bidi="uk-UA"/>
              </w:rPr>
              <w:t xml:space="preserve">сті з ведення Державного земельного кадастру, здійснення збору та аналізу необхідної інформації; забезпечення здійснення інформаційної взаємодії Державного земельного кадастру з іншими інформаційними системами в установленому порядку; </w:t>
            </w:r>
          </w:p>
          <w:p w:rsidR="00C93D61" w:rsidRPr="00FF4AC9" w:rsidRDefault="00C93D61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  <w:lang w:eastAsia="uk-UA" w:bidi="uk-UA"/>
              </w:rPr>
              <w:t xml:space="preserve">- </w:t>
            </w:r>
            <w:r w:rsidRPr="004D453C">
              <w:rPr>
                <w:sz w:val="24"/>
                <w:szCs w:val="24"/>
              </w:rPr>
              <w:t>взаємоді</w:t>
            </w:r>
            <w:r w:rsidRPr="004D453C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я</w:t>
            </w:r>
            <w:r w:rsidRPr="004D453C">
              <w:rPr>
                <w:sz w:val="24"/>
                <w:szCs w:val="24"/>
              </w:rPr>
              <w:t xml:space="preserve"> з центрами надання адміністративних послуг в частині надання адміністративних послуг; збір та узагальнення інформації про надані Відділом адміністративні послуги згідно із законом у відповідній сфері; надання адміністративних послуг згідно із законом у відповідній сфері; надання відомостей з Державного земельного кадастру щодо об’єктів Державного земельного кад</w:t>
            </w:r>
            <w:r w:rsidR="00FF4AC9">
              <w:rPr>
                <w:sz w:val="24"/>
                <w:szCs w:val="24"/>
              </w:rPr>
              <w:t>астру, та відмова в їх наданні;</w:t>
            </w:r>
          </w:p>
          <w:p w:rsidR="00C93D61" w:rsidRPr="004D453C" w:rsidRDefault="00C93D61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 xml:space="preserve">- надання витягів з технічної документації про нормативну грошову оцінку земельної ділянки та відмов щодо їх отримання; </w:t>
            </w:r>
          </w:p>
          <w:p w:rsidR="00C93D61" w:rsidRPr="004D453C" w:rsidRDefault="00C93D61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- ведення Поземельних книг;</w:t>
            </w:r>
          </w:p>
          <w:p w:rsidR="00C93D61" w:rsidRPr="004D453C" w:rsidRDefault="00C93D61" w:rsidP="00C93D61">
            <w:pPr>
              <w:shd w:val="clear" w:color="auto" w:fill="FFFFFF"/>
              <w:tabs>
                <w:tab w:val="left" w:pos="269"/>
                <w:tab w:val="left" w:pos="851"/>
              </w:tabs>
              <w:suppressAutoHyphens/>
              <w:spacing w:line="228" w:lineRule="auto"/>
              <w:ind w:left="1" w:right="125" w:firstLine="268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- забезпечення створення, формування і ведення місцевого фонду документації із землеустрою та оцінки земель;</w:t>
            </w:r>
          </w:p>
          <w:p w:rsidR="00C93D61" w:rsidRPr="004D453C" w:rsidRDefault="00C93D61" w:rsidP="00C93D61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  <w:lang w:eastAsia="uk-UA" w:bidi="uk-UA"/>
              </w:rPr>
              <w:t xml:space="preserve">- </w:t>
            </w:r>
            <w:r w:rsidRPr="004D453C">
              <w:rPr>
                <w:sz w:val="24"/>
                <w:szCs w:val="24"/>
              </w:rPr>
              <w:t>здійснення видачі відомостей з документації із землеустрою та оцінки земель, що включена до Державного фонду документації із землеустрою та оцінки земель;</w:t>
            </w:r>
          </w:p>
          <w:p w:rsidR="00C93D61" w:rsidRPr="004D453C" w:rsidRDefault="00C93D61" w:rsidP="00FF4AC9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- здійснення обліку кількості та якості земель на території області в межах повноважень Відділу; здійснення заходів щодо вдосконалення порядку ведення обліку і підготовки звітності з регулювання земельних відносин, використання та охорони земель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Умови оплати праці</w:t>
            </w:r>
          </w:p>
        </w:tc>
        <w:tc>
          <w:tcPr>
            <w:tcW w:w="6805" w:type="dxa"/>
          </w:tcPr>
          <w:p w:rsidR="00EE62FE" w:rsidRPr="004D453C" w:rsidRDefault="0055000A" w:rsidP="003F15C6">
            <w:pPr>
              <w:pStyle w:val="12"/>
              <w:tabs>
                <w:tab w:val="left" w:pos="6451"/>
              </w:tabs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4D453C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4D453C">
              <w:rPr>
                <w:sz w:val="24"/>
                <w:szCs w:val="24"/>
                <w:lang w:val="ru-RU"/>
              </w:rPr>
              <w:t xml:space="preserve"> оклад </w:t>
            </w:r>
            <w:r w:rsidR="003F15C6">
              <w:rPr>
                <w:sz w:val="24"/>
                <w:szCs w:val="24"/>
                <w:lang w:val="ru-RU"/>
              </w:rPr>
              <w:t>-</w:t>
            </w:r>
            <w:r w:rsidRPr="004D453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4D453C" w:rsidRPr="004D453C">
              <w:rPr>
                <w:iCs/>
                <w:sz w:val="24"/>
                <w:szCs w:val="24"/>
                <w:lang w:val="ru-RU"/>
              </w:rPr>
              <w:t>5</w:t>
            </w:r>
            <w:r w:rsidR="003F15C6">
              <w:rPr>
                <w:iCs/>
                <w:sz w:val="24"/>
                <w:szCs w:val="24"/>
                <w:lang w:val="ru-RU"/>
              </w:rPr>
              <w:t>80</w:t>
            </w:r>
            <w:r w:rsidR="004D453C" w:rsidRPr="004D453C">
              <w:rPr>
                <w:iCs/>
                <w:sz w:val="24"/>
                <w:szCs w:val="24"/>
                <w:lang w:val="ru-RU"/>
              </w:rPr>
              <w:t>0</w:t>
            </w:r>
            <w:r w:rsidRPr="004D453C">
              <w:rPr>
                <w:sz w:val="24"/>
                <w:szCs w:val="24"/>
                <w:lang w:val="ru-RU"/>
              </w:rPr>
              <w:t xml:space="preserve"> г</w:t>
            </w:r>
            <w:r w:rsidRPr="004D453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4D453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4D453C">
              <w:rPr>
                <w:color w:val="000000" w:themeColor="text1"/>
                <w:sz w:val="24"/>
                <w:szCs w:val="24"/>
              </w:rPr>
              <w:t>.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 52 Закону України </w:t>
            </w:r>
            <w:r w:rsidR="003F15C6" w:rsidRPr="003F15C6">
              <w:rPr>
                <w:color w:val="000000" w:themeColor="text1"/>
                <w:sz w:val="24"/>
                <w:szCs w:val="24"/>
                <w:lang w:val="ru-RU"/>
              </w:rPr>
              <w:t>“</w:t>
            </w:r>
            <w:r w:rsidRPr="004D453C">
              <w:rPr>
                <w:color w:val="000000" w:themeColor="text1"/>
                <w:sz w:val="24"/>
                <w:szCs w:val="24"/>
              </w:rPr>
              <w:t>Про державну службу</w:t>
            </w:r>
            <w:r w:rsidR="003F15C6" w:rsidRPr="003F15C6">
              <w:rPr>
                <w:color w:val="000000" w:themeColor="text1"/>
                <w:sz w:val="24"/>
                <w:szCs w:val="24"/>
                <w:lang w:val="ru-RU"/>
              </w:rPr>
              <w:t>”</w:t>
            </w:r>
            <w:r w:rsidRPr="004D453C">
              <w:rPr>
                <w:color w:val="000000" w:themeColor="text1"/>
                <w:sz w:val="24"/>
                <w:szCs w:val="24"/>
              </w:rPr>
              <w:t>, надбавка за ранг державного службовця, відповідно до вимог постанови Кабінету Міністрів України від 18.01.2017 №</w:t>
            </w:r>
            <w:r w:rsidR="00740E08" w:rsidRPr="004D45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15 </w:t>
            </w:r>
            <w:r w:rsidR="003F15C6" w:rsidRPr="003F15C6">
              <w:rPr>
                <w:color w:val="000000" w:themeColor="text1"/>
                <w:sz w:val="24"/>
                <w:szCs w:val="24"/>
                <w:lang w:val="ru-RU"/>
              </w:rPr>
              <w:t>“</w:t>
            </w:r>
            <w:r w:rsidRPr="004D453C">
              <w:rPr>
                <w:color w:val="000000" w:themeColor="text1"/>
                <w:sz w:val="24"/>
                <w:szCs w:val="24"/>
              </w:rPr>
              <w:t>Питання оплати праці працівників державних органів</w:t>
            </w:r>
            <w:r w:rsidR="003F15C6" w:rsidRPr="003F15C6">
              <w:rPr>
                <w:color w:val="000000" w:themeColor="text1"/>
                <w:sz w:val="24"/>
                <w:szCs w:val="24"/>
                <w:lang w:val="ru-RU"/>
              </w:rPr>
              <w:t>”</w:t>
            </w:r>
            <w:r w:rsidRPr="004D453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FF4AC9" w:rsidRDefault="00AC3156" w:rsidP="003F15C6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FF4AC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період дії воєнного стану в Україні </w:t>
            </w:r>
            <w:r w:rsidRPr="00FF4AC9">
              <w:rPr>
                <w:color w:val="000000"/>
                <w:sz w:val="24"/>
                <w:szCs w:val="24"/>
              </w:rPr>
              <w:t xml:space="preserve">до призначення на цю посаду переможця конкурсу або до спливу </w:t>
            </w:r>
            <w:proofErr w:type="spellStart"/>
            <w:r w:rsidRPr="00FF4AC9">
              <w:rPr>
                <w:color w:val="000000"/>
                <w:sz w:val="24"/>
                <w:szCs w:val="24"/>
              </w:rPr>
              <w:t>дванадцятимісячного</w:t>
            </w:r>
            <w:proofErr w:type="spellEnd"/>
            <w:r w:rsidRPr="00FF4AC9">
              <w:rPr>
                <w:color w:val="000000"/>
                <w:sz w:val="24"/>
                <w:szCs w:val="24"/>
              </w:rPr>
              <w:t xml:space="preserve"> строку після припинення чи скасування воєнного стану</w:t>
            </w:r>
          </w:p>
        </w:tc>
      </w:tr>
      <w:tr w:rsidR="00131B14" w:rsidRPr="004D453C" w:rsidTr="00C93D61">
        <w:trPr>
          <w:trHeight w:val="3451"/>
        </w:trPr>
        <w:tc>
          <w:tcPr>
            <w:tcW w:w="3543" w:type="dxa"/>
            <w:gridSpan w:val="2"/>
          </w:tcPr>
          <w:p w:rsidR="00131B14" w:rsidRPr="004D453C" w:rsidRDefault="00740E08" w:rsidP="005B669C">
            <w:pPr>
              <w:pStyle w:val="Default"/>
            </w:pPr>
            <w:r w:rsidRPr="004D453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4D453C" w:rsidRPr="004D453C" w:rsidRDefault="004D453C" w:rsidP="004D453C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4D453C">
              <w:rPr>
                <w:sz w:val="24"/>
                <w:szCs w:val="24"/>
                <w:lang w:eastAsia="ru-RU"/>
              </w:rPr>
              <w:t xml:space="preserve"> особисто або через електронну пошту </w:t>
            </w:r>
            <w:proofErr w:type="spellStart"/>
            <w:r w:rsidRPr="004D453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kadryifr@u</w:t>
            </w:r>
            <w:r w:rsidRPr="004D453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Pr="004D453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Pr="004D453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Pr="004D453C">
              <w:rPr>
                <w:sz w:val="24"/>
                <w:szCs w:val="24"/>
                <w:lang w:eastAsia="ru-RU"/>
              </w:rPr>
              <w:t xml:space="preserve">: </w:t>
            </w:r>
          </w:p>
          <w:p w:rsidR="000745ED" w:rsidRPr="004D453C" w:rsidRDefault="002F109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 встановленого зразка;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4D453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4D453C" w:rsidRDefault="00790C1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4D453C" w:rsidRDefault="00740E08" w:rsidP="00F33438">
            <w:pPr>
              <w:pStyle w:val="12"/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3F15C6" w:rsidRPr="003F15C6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5</w:t>
            </w:r>
            <w:r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F33438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10 липня</w:t>
            </w:r>
            <w:r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EB766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3</w:t>
            </w:r>
            <w:r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4D453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br/>
              <w:t>включно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740E08" w:rsidRPr="004D453C" w:rsidRDefault="00131B14" w:rsidP="005B669C">
            <w:pPr>
              <w:pStyle w:val="Default"/>
            </w:pPr>
            <w:r w:rsidRPr="004D453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0B1519" w:rsidRPr="004D453C" w:rsidRDefault="00961A44" w:rsidP="00772D18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</w:t>
            </w:r>
            <w:proofErr w:type="spellEnd"/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Любов Сергіївна</w:t>
            </w:r>
          </w:p>
          <w:p w:rsidR="000B1519" w:rsidRPr="004D453C" w:rsidRDefault="004D453C" w:rsidP="00772D18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р</w:t>
            </w:r>
            <w:r w:rsidR="000B1519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об. </w:t>
            </w:r>
            <w:proofErr w:type="spellStart"/>
            <w:r w:rsidR="000B1519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тел</w:t>
            </w:r>
            <w:proofErr w:type="spellEnd"/>
            <w:r w:rsidR="000B1519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. </w:t>
            </w:r>
            <w:r w:rsidR="00772D18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52-14-52</w:t>
            </w:r>
            <w:r w:rsidR="000B1519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F33438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, </w:t>
            </w:r>
            <w:r w:rsidR="00F33438" w:rsidRPr="00F33438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kadryifr@ukr.net:</w:t>
            </w:r>
          </w:p>
          <w:p w:rsidR="00772D18" w:rsidRPr="004D453C" w:rsidRDefault="00772D18" w:rsidP="004D453C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bookmarkStart w:id="1" w:name="_GoBack"/>
            <w:bookmarkEnd w:id="1"/>
          </w:p>
        </w:tc>
      </w:tr>
      <w:tr w:rsidR="00131B14" w:rsidRPr="004D453C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4D453C" w:rsidRDefault="00131B14" w:rsidP="00133975">
            <w:pPr>
              <w:pStyle w:val="12"/>
              <w:ind w:right="125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55000A" w:rsidRPr="004D453C" w:rsidTr="00C93D61"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1.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pStyle w:val="Default"/>
            </w:pPr>
            <w:r w:rsidRPr="004D453C">
              <w:t>Освіта</w:t>
            </w:r>
          </w:p>
        </w:tc>
        <w:tc>
          <w:tcPr>
            <w:tcW w:w="6805" w:type="dxa"/>
          </w:tcPr>
          <w:p w:rsidR="00C93D61" w:rsidRPr="00961A44" w:rsidRDefault="001E4C55" w:rsidP="00961A44">
            <w:pPr>
              <w:pStyle w:val="12"/>
              <w:ind w:right="125"/>
              <w:jc w:val="both"/>
              <w:outlineLvl w:val="8"/>
              <w:rPr>
                <w:sz w:val="24"/>
                <w:szCs w:val="24"/>
                <w:lang w:val="en-US"/>
              </w:rPr>
            </w:pPr>
            <w:r w:rsidRPr="004D453C">
              <w:rPr>
                <w:rStyle w:val="rvts0"/>
                <w:sz w:val="24"/>
                <w:szCs w:val="24"/>
              </w:rPr>
              <w:t>Вища</w:t>
            </w:r>
            <w:r w:rsidR="000B1519" w:rsidRPr="004D453C">
              <w:rPr>
                <w:color w:val="000000"/>
                <w:sz w:val="24"/>
                <w:szCs w:val="24"/>
              </w:rPr>
              <w:t xml:space="preserve"> за освітнім ступенем не нижче бакалавра, молодшого бакалавра за спеціальністю </w:t>
            </w:r>
            <w:r w:rsidR="00961A44">
              <w:rPr>
                <w:color w:val="000000"/>
                <w:sz w:val="24"/>
                <w:szCs w:val="24"/>
                <w:lang w:val="en-US"/>
              </w:rPr>
              <w:t>“</w:t>
            </w:r>
            <w:r w:rsidR="00116C4C" w:rsidRPr="004D453C">
              <w:rPr>
                <w:sz w:val="24"/>
                <w:szCs w:val="24"/>
              </w:rPr>
              <w:t>Право</w:t>
            </w:r>
            <w:r w:rsidR="00961A44">
              <w:rPr>
                <w:sz w:val="24"/>
                <w:szCs w:val="24"/>
                <w:lang w:val="en-US"/>
              </w:rPr>
              <w:t>”</w:t>
            </w:r>
            <w:r w:rsidR="00116C4C" w:rsidRPr="004D453C">
              <w:rPr>
                <w:sz w:val="24"/>
                <w:szCs w:val="24"/>
              </w:rPr>
              <w:t xml:space="preserve">, </w:t>
            </w:r>
            <w:r w:rsidR="00961A44">
              <w:rPr>
                <w:sz w:val="24"/>
                <w:szCs w:val="24"/>
                <w:lang w:val="en-US"/>
              </w:rPr>
              <w:t>“</w:t>
            </w:r>
            <w:r w:rsidR="00116C4C" w:rsidRPr="004D453C">
              <w:rPr>
                <w:sz w:val="24"/>
                <w:szCs w:val="24"/>
              </w:rPr>
              <w:t>Правознавство</w:t>
            </w:r>
            <w:r w:rsidR="00961A44">
              <w:rPr>
                <w:sz w:val="24"/>
                <w:szCs w:val="24"/>
                <w:lang w:val="en-US"/>
              </w:rPr>
              <w:t>”</w:t>
            </w:r>
            <w:r w:rsidR="00C93D61" w:rsidRPr="004D453C">
              <w:rPr>
                <w:sz w:val="24"/>
                <w:szCs w:val="24"/>
              </w:rPr>
              <w:t xml:space="preserve">, </w:t>
            </w:r>
            <w:r w:rsidR="00961A44">
              <w:rPr>
                <w:sz w:val="24"/>
                <w:szCs w:val="24"/>
                <w:lang w:val="en-US"/>
              </w:rPr>
              <w:t>“</w:t>
            </w:r>
            <w:r w:rsidR="00C93D61" w:rsidRPr="004D453C">
              <w:rPr>
                <w:sz w:val="24"/>
                <w:szCs w:val="24"/>
              </w:rPr>
              <w:t>Землеустрій</w:t>
            </w:r>
            <w:r w:rsidR="00961A44">
              <w:rPr>
                <w:sz w:val="24"/>
                <w:szCs w:val="24"/>
                <w:lang w:val="en-US"/>
              </w:rPr>
              <w:t>”</w:t>
            </w:r>
            <w:r w:rsidR="00961A44">
              <w:rPr>
                <w:sz w:val="24"/>
                <w:szCs w:val="24"/>
              </w:rPr>
              <w:t xml:space="preserve">, </w:t>
            </w:r>
            <w:r w:rsidR="00961A44">
              <w:rPr>
                <w:sz w:val="24"/>
                <w:szCs w:val="24"/>
                <w:lang w:val="en-US"/>
              </w:rPr>
              <w:t>“</w:t>
            </w:r>
            <w:r w:rsidR="00C93D61" w:rsidRPr="004D453C">
              <w:rPr>
                <w:sz w:val="24"/>
                <w:szCs w:val="24"/>
              </w:rPr>
              <w:t>Картографія</w:t>
            </w:r>
            <w:r w:rsidR="00961A44">
              <w:rPr>
                <w:sz w:val="24"/>
                <w:szCs w:val="24"/>
                <w:lang w:val="en-US"/>
              </w:rPr>
              <w:t>”</w:t>
            </w:r>
            <w:r w:rsidR="00C93D61" w:rsidRPr="004D453C">
              <w:rPr>
                <w:sz w:val="24"/>
                <w:szCs w:val="24"/>
              </w:rPr>
              <w:t xml:space="preserve">, </w:t>
            </w:r>
            <w:r w:rsidR="00961A44">
              <w:rPr>
                <w:sz w:val="24"/>
                <w:szCs w:val="24"/>
                <w:lang w:val="en-US"/>
              </w:rPr>
              <w:t>“</w:t>
            </w:r>
            <w:r w:rsidR="00C93D61" w:rsidRPr="004D453C">
              <w:rPr>
                <w:sz w:val="24"/>
                <w:szCs w:val="24"/>
              </w:rPr>
              <w:t>Землевпорядкування та кадастр</w:t>
            </w:r>
            <w:r w:rsidR="00961A44">
              <w:rPr>
                <w:sz w:val="24"/>
                <w:szCs w:val="24"/>
                <w:lang w:val="en-US"/>
              </w:rPr>
              <w:t>”</w:t>
            </w:r>
          </w:p>
        </w:tc>
      </w:tr>
      <w:tr w:rsidR="0055000A" w:rsidRPr="004D453C" w:rsidTr="00C93D61">
        <w:trPr>
          <w:trHeight w:val="416"/>
        </w:trPr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2.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pStyle w:val="Default"/>
            </w:pPr>
            <w:r w:rsidRPr="004D453C">
              <w:t>Досвід роботи</w:t>
            </w:r>
          </w:p>
        </w:tc>
        <w:tc>
          <w:tcPr>
            <w:tcW w:w="6805" w:type="dxa"/>
          </w:tcPr>
          <w:p w:rsidR="0055000A" w:rsidRPr="004D453C" w:rsidRDefault="00C93D61" w:rsidP="00961A44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sz w:val="24"/>
                <w:szCs w:val="24"/>
              </w:rPr>
              <w:t xml:space="preserve">досвід землевпорядної або юридичної роботи не менш як два роки (відповідно до ст. 9 Закону України </w:t>
            </w:r>
            <w:r w:rsidR="00961A44" w:rsidRPr="00961A44">
              <w:rPr>
                <w:sz w:val="24"/>
                <w:szCs w:val="24"/>
                <w:lang w:val="ru-RU"/>
              </w:rPr>
              <w:t>“</w:t>
            </w:r>
            <w:r w:rsidR="00961A44">
              <w:rPr>
                <w:sz w:val="24"/>
                <w:szCs w:val="24"/>
              </w:rPr>
              <w:t>Про Державний земельний кадастр</w:t>
            </w:r>
            <w:r w:rsidR="00961A44" w:rsidRPr="00961A44">
              <w:rPr>
                <w:sz w:val="24"/>
                <w:szCs w:val="24"/>
                <w:lang w:val="ru-RU"/>
              </w:rPr>
              <w:t>”</w:t>
            </w:r>
            <w:r w:rsidRPr="004D453C">
              <w:rPr>
                <w:sz w:val="24"/>
                <w:szCs w:val="24"/>
              </w:rPr>
              <w:t>)</w:t>
            </w:r>
          </w:p>
        </w:tc>
      </w:tr>
      <w:tr w:rsidR="0055000A" w:rsidRPr="004D453C" w:rsidTr="00C93D61"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3.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4D453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4D453C" w:rsidRDefault="001E4C55" w:rsidP="00542F82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4D453C" w:rsidTr="00362599">
        <w:tc>
          <w:tcPr>
            <w:tcW w:w="10348" w:type="dxa"/>
            <w:gridSpan w:val="3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0B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131B14" w:rsidRPr="004D453C" w:rsidRDefault="00131B14" w:rsidP="00772D18">
      <w:pPr>
        <w:tabs>
          <w:tab w:val="left" w:pos="3300"/>
        </w:tabs>
        <w:rPr>
          <w:sz w:val="24"/>
          <w:szCs w:val="24"/>
        </w:rPr>
      </w:pPr>
    </w:p>
    <w:sectPr w:rsidR="00131B14" w:rsidRPr="004D453C" w:rsidSect="003F15C6">
      <w:headerReference w:type="even" r:id="rId8"/>
      <w:headerReference w:type="default" r:id="rId9"/>
      <w:pgSz w:w="11906" w:h="16838" w:code="9"/>
      <w:pgMar w:top="284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84" w:rsidRDefault="00A66884">
      <w:r>
        <w:separator/>
      </w:r>
    </w:p>
  </w:endnote>
  <w:endnote w:type="continuationSeparator" w:id="0">
    <w:p w:rsidR="00A66884" w:rsidRDefault="00A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84" w:rsidRDefault="00A66884">
      <w:r>
        <w:separator/>
      </w:r>
    </w:p>
  </w:footnote>
  <w:footnote w:type="continuationSeparator" w:id="0">
    <w:p w:rsidR="00A66884" w:rsidRDefault="00A6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B75B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CB75B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F33438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35DB3"/>
    <w:rsid w:val="0005031E"/>
    <w:rsid w:val="00055494"/>
    <w:rsid w:val="00057B16"/>
    <w:rsid w:val="000618A9"/>
    <w:rsid w:val="000745ED"/>
    <w:rsid w:val="00076823"/>
    <w:rsid w:val="00081BCA"/>
    <w:rsid w:val="00087B99"/>
    <w:rsid w:val="00091E8C"/>
    <w:rsid w:val="000A773A"/>
    <w:rsid w:val="000B1519"/>
    <w:rsid w:val="000C1C7B"/>
    <w:rsid w:val="000C70BA"/>
    <w:rsid w:val="000D2DCE"/>
    <w:rsid w:val="000E70D4"/>
    <w:rsid w:val="000E7CA2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1511"/>
    <w:rsid w:val="0016213C"/>
    <w:rsid w:val="00167604"/>
    <w:rsid w:val="0017279F"/>
    <w:rsid w:val="00177139"/>
    <w:rsid w:val="001878CD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F2EB4"/>
    <w:rsid w:val="001F39D8"/>
    <w:rsid w:val="001F4EC0"/>
    <w:rsid w:val="00204EE2"/>
    <w:rsid w:val="00207775"/>
    <w:rsid w:val="00210F96"/>
    <w:rsid w:val="0023649E"/>
    <w:rsid w:val="00242512"/>
    <w:rsid w:val="0024592B"/>
    <w:rsid w:val="0026061E"/>
    <w:rsid w:val="00280F0E"/>
    <w:rsid w:val="002A7BF7"/>
    <w:rsid w:val="002B5E1E"/>
    <w:rsid w:val="002C0033"/>
    <w:rsid w:val="002C1545"/>
    <w:rsid w:val="002D0F18"/>
    <w:rsid w:val="002F1096"/>
    <w:rsid w:val="00311CD9"/>
    <w:rsid w:val="00344784"/>
    <w:rsid w:val="00382CF8"/>
    <w:rsid w:val="003908B7"/>
    <w:rsid w:val="003A47CA"/>
    <w:rsid w:val="003B1DB4"/>
    <w:rsid w:val="003B5BD3"/>
    <w:rsid w:val="003C4C01"/>
    <w:rsid w:val="003D05DE"/>
    <w:rsid w:val="003D7742"/>
    <w:rsid w:val="003F15C6"/>
    <w:rsid w:val="003F2766"/>
    <w:rsid w:val="00415BAC"/>
    <w:rsid w:val="00415F55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D453C"/>
    <w:rsid w:val="004E0A60"/>
    <w:rsid w:val="004F348B"/>
    <w:rsid w:val="00501A81"/>
    <w:rsid w:val="005245B0"/>
    <w:rsid w:val="00534CC3"/>
    <w:rsid w:val="0055000A"/>
    <w:rsid w:val="00550C3F"/>
    <w:rsid w:val="005522DB"/>
    <w:rsid w:val="00577FB4"/>
    <w:rsid w:val="00584F56"/>
    <w:rsid w:val="00586B49"/>
    <w:rsid w:val="00592C2C"/>
    <w:rsid w:val="005942C6"/>
    <w:rsid w:val="005B49AC"/>
    <w:rsid w:val="005B669C"/>
    <w:rsid w:val="005C0E57"/>
    <w:rsid w:val="005D0E4C"/>
    <w:rsid w:val="005D446B"/>
    <w:rsid w:val="005E4ED6"/>
    <w:rsid w:val="005E7C97"/>
    <w:rsid w:val="00617106"/>
    <w:rsid w:val="00620380"/>
    <w:rsid w:val="0064779D"/>
    <w:rsid w:val="00665A7D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46A10"/>
    <w:rsid w:val="00753C7F"/>
    <w:rsid w:val="00762A28"/>
    <w:rsid w:val="00772D18"/>
    <w:rsid w:val="00790C16"/>
    <w:rsid w:val="007A27DC"/>
    <w:rsid w:val="007B1BC0"/>
    <w:rsid w:val="007E2AC9"/>
    <w:rsid w:val="007E3BD8"/>
    <w:rsid w:val="007F6FED"/>
    <w:rsid w:val="0081137E"/>
    <w:rsid w:val="0081423A"/>
    <w:rsid w:val="008176B4"/>
    <w:rsid w:val="008244D9"/>
    <w:rsid w:val="0082608E"/>
    <w:rsid w:val="00837836"/>
    <w:rsid w:val="0085087B"/>
    <w:rsid w:val="00851053"/>
    <w:rsid w:val="0086158D"/>
    <w:rsid w:val="00867DDC"/>
    <w:rsid w:val="0087648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555A5"/>
    <w:rsid w:val="00956C89"/>
    <w:rsid w:val="00961A44"/>
    <w:rsid w:val="00966860"/>
    <w:rsid w:val="00971EF4"/>
    <w:rsid w:val="009732C4"/>
    <w:rsid w:val="00974D06"/>
    <w:rsid w:val="009805A5"/>
    <w:rsid w:val="0099378D"/>
    <w:rsid w:val="00997935"/>
    <w:rsid w:val="009A0AB5"/>
    <w:rsid w:val="009A6C6D"/>
    <w:rsid w:val="009C2CE0"/>
    <w:rsid w:val="009D10FA"/>
    <w:rsid w:val="00A14770"/>
    <w:rsid w:val="00A169E7"/>
    <w:rsid w:val="00A174F4"/>
    <w:rsid w:val="00A178F2"/>
    <w:rsid w:val="00A3571A"/>
    <w:rsid w:val="00A457D7"/>
    <w:rsid w:val="00A5300A"/>
    <w:rsid w:val="00A66884"/>
    <w:rsid w:val="00A71250"/>
    <w:rsid w:val="00A77912"/>
    <w:rsid w:val="00A77BCC"/>
    <w:rsid w:val="00AB2009"/>
    <w:rsid w:val="00AC0BF6"/>
    <w:rsid w:val="00AC3156"/>
    <w:rsid w:val="00AD7A41"/>
    <w:rsid w:val="00AE6A40"/>
    <w:rsid w:val="00AF6EA1"/>
    <w:rsid w:val="00B00039"/>
    <w:rsid w:val="00B0208E"/>
    <w:rsid w:val="00B12861"/>
    <w:rsid w:val="00B12C52"/>
    <w:rsid w:val="00B207D4"/>
    <w:rsid w:val="00B30AF5"/>
    <w:rsid w:val="00B30D2D"/>
    <w:rsid w:val="00B54B9D"/>
    <w:rsid w:val="00B745E8"/>
    <w:rsid w:val="00BD72E4"/>
    <w:rsid w:val="00BE710E"/>
    <w:rsid w:val="00BF5A89"/>
    <w:rsid w:val="00BF5D9B"/>
    <w:rsid w:val="00C01EB0"/>
    <w:rsid w:val="00C02FBB"/>
    <w:rsid w:val="00C21E87"/>
    <w:rsid w:val="00C45D36"/>
    <w:rsid w:val="00C5050F"/>
    <w:rsid w:val="00C6272E"/>
    <w:rsid w:val="00C628C2"/>
    <w:rsid w:val="00C83024"/>
    <w:rsid w:val="00C8632A"/>
    <w:rsid w:val="00C87CD5"/>
    <w:rsid w:val="00C93D61"/>
    <w:rsid w:val="00CA5691"/>
    <w:rsid w:val="00CB2FD8"/>
    <w:rsid w:val="00CB75B3"/>
    <w:rsid w:val="00CC6337"/>
    <w:rsid w:val="00CD6994"/>
    <w:rsid w:val="00CE1526"/>
    <w:rsid w:val="00CE2A2F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8215E"/>
    <w:rsid w:val="00E85B65"/>
    <w:rsid w:val="00E90942"/>
    <w:rsid w:val="00E9321F"/>
    <w:rsid w:val="00EA4E76"/>
    <w:rsid w:val="00EB0F30"/>
    <w:rsid w:val="00EB766A"/>
    <w:rsid w:val="00EB7C72"/>
    <w:rsid w:val="00EC12B9"/>
    <w:rsid w:val="00ED0456"/>
    <w:rsid w:val="00EE0C98"/>
    <w:rsid w:val="00EE62FE"/>
    <w:rsid w:val="00EE6C36"/>
    <w:rsid w:val="00EE6D2B"/>
    <w:rsid w:val="00F12060"/>
    <w:rsid w:val="00F14B47"/>
    <w:rsid w:val="00F33438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F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AE4A1"/>
  <w15:docId w15:val="{ED9E4EB7-AA1C-4131-B128-B6957344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C2A7-8469-4C8B-89E5-064F311E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2861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2022-06-02T06:10:00Z</cp:lastPrinted>
  <dcterms:created xsi:type="dcterms:W3CDTF">2023-07-05T14:26:00Z</dcterms:created>
  <dcterms:modified xsi:type="dcterms:W3CDTF">2023-07-05T14:26:00Z</dcterms:modified>
</cp:coreProperties>
</file>