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64581F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 xml:space="preserve">                                     ОГОЛОШЕННЯ</w:t>
      </w:r>
    </w:p>
    <w:p w:rsidR="0064581F" w:rsidRPr="0064581F" w:rsidRDefault="0064581F" w:rsidP="0064581F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955B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Управління надання адміністративних послуг Головного управління Держгео-кадастру в Івано-Франківській області</w:t>
            </w:r>
          </w:p>
        </w:tc>
      </w:tr>
      <w:tr w:rsidR="0064581F" w:rsidRPr="0064581F" w:rsidTr="00DA1A55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DA1A55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bookmarkStart w:id="1" w:name="n100"/>
            <w:bookmarkEnd w:id="1"/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-</w:t>
            </w: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DA1A55">
              <w:rPr>
                <w:spacing w:val="-2"/>
                <w:sz w:val="26"/>
                <w:szCs w:val="26"/>
                <w:shd w:val="clear" w:color="auto" w:fill="FFFFFF"/>
              </w:rPr>
              <w:t>забезпечення надання адміністративних послуг відповідно до Закону України « Про адміністративні послуги»</w:t>
            </w:r>
          </w:p>
          <w:p w:rsidR="0064581F" w:rsidRPr="0064581F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здійснення реєстрації обліку документів в електронній автоматизованій систем</w:t>
            </w:r>
            <w:r w:rsidR="0064581F">
              <w:rPr>
                <w:spacing w:val="-2"/>
                <w:sz w:val="26"/>
                <w:szCs w:val="26"/>
                <w:shd w:val="clear" w:color="auto" w:fill="FFFFFF"/>
              </w:rPr>
              <w:t>і документообігу «ДОК ПРОФ Степ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3»</w:t>
            </w:r>
          </w:p>
          <w:p w:rsidR="00955B3F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955B3F">
              <w:rPr>
                <w:spacing w:val="-2"/>
                <w:sz w:val="26"/>
                <w:szCs w:val="26"/>
                <w:shd w:val="clear" w:color="auto" w:fill="FFFFFF"/>
              </w:rPr>
              <w:t>забезпечення ведення діловодства та ведення контролю за виконанням документів;</w:t>
            </w:r>
          </w:p>
          <w:p w:rsidR="00DA1A55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створення, формування та ведення Місцевого фонду документації із землеустрою</w:t>
            </w:r>
          </w:p>
          <w:p w:rsidR="0064581F" w:rsidRPr="0064581F" w:rsidRDefault="00DA1A55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64581F" w:rsidRPr="0064581F">
              <w:rPr>
                <w:spacing w:val="-2"/>
                <w:sz w:val="26"/>
                <w:szCs w:val="26"/>
                <w:shd w:val="clear" w:color="auto" w:fill="FFFFFF"/>
              </w:rPr>
              <w:t>формування та підготовка матеріалів, які містяться в Місцевому фонді документації із землеустрою, для її перетворення в електронний (цифровий) вигляд</w:t>
            </w:r>
          </w:p>
          <w:p w:rsidR="0064581F" w:rsidRPr="0064581F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проведення аналізу та оновлення інформації при підготовці звітності</w:t>
            </w:r>
          </w:p>
          <w:p w:rsidR="0064581F" w:rsidRPr="0064581F" w:rsidRDefault="0064581F" w:rsidP="0064581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pacing w:val="-2"/>
                <w:sz w:val="26"/>
                <w:szCs w:val="26"/>
                <w:shd w:val="clear" w:color="auto" w:fill="FFFFFF"/>
              </w:rPr>
              <w:t xml:space="preserve"> - </w:t>
            </w: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підготовка та надання відповідей на звернення фізичних та юридичних осіб</w:t>
            </w:r>
            <w:r w:rsidR="00DA1A55">
              <w:rPr>
                <w:spacing w:val="-2"/>
                <w:sz w:val="26"/>
                <w:szCs w:val="26"/>
                <w:shd w:val="clear" w:color="auto" w:fill="FFFFFF"/>
              </w:rPr>
              <w:t xml:space="preserve"> в сфері надання адміністративних послуг та перевірка їх на відповідність вимогам законодавства</w:t>
            </w:r>
          </w:p>
          <w:p w:rsidR="00DA1A55" w:rsidRPr="0064581F" w:rsidRDefault="0064581F" w:rsidP="00955B3F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64581F">
              <w:rPr>
                <w:spacing w:val="-2"/>
                <w:sz w:val="26"/>
                <w:szCs w:val="26"/>
                <w:shd w:val="clear" w:color="auto" w:fill="FFFFFF"/>
              </w:rPr>
              <w:t>-  виконання інших доручень та вказівок керівника відділу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7250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  <w:p w:rsidR="00DA1A55" w:rsidRPr="00DA1A55" w:rsidRDefault="00DA1A55" w:rsidP="0064581F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DA1A55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D53F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</w:t>
            </w:r>
            <w:r w:rsidR="00D53F3F" w:rsidRPr="00D53F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8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берез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Петрик Надія Василівна,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моб. тел.380964200758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316DD" w:rsidRDefault="0064581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 «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Геодезія та землеустрій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«Землеустрій та кадастр»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левпорядкування та кадаст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р», </w:t>
            </w:r>
            <w:r w:rsidR="00DA1A5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«Землевпорядкування»</w:t>
            </w:r>
            <w:r w:rsidR="001316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«Право», «Правознавство»</w:t>
            </w:r>
            <w:r w:rsidR="00955B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955B3F">
              <w:t xml:space="preserve"> </w:t>
            </w:r>
            <w:r w:rsidR="00955B3F" w:rsidRPr="00955B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"Комп</w:t>
            </w:r>
            <w:r w:rsidR="00955B3F" w:rsidRPr="00955B3F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955B3F" w:rsidRPr="00955B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ютеризовані системи управління та автоматики"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мовою.</w:t>
            </w:r>
          </w:p>
        </w:tc>
      </w:tr>
      <w:tr w:rsidR="0064581F" w:rsidRPr="0064581F" w:rsidTr="00DA1A55">
        <w:tc>
          <w:tcPr>
            <w:tcW w:w="10348" w:type="dxa"/>
            <w:gridSpan w:val="3"/>
            <w:vAlign w:val="center"/>
          </w:tcPr>
          <w:p w:rsid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64581F" w:rsidRPr="0064581F" w:rsidRDefault="0064581F" w:rsidP="0064581F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64581F">
        <w:rPr>
          <w:sz w:val="26"/>
          <w:szCs w:val="26"/>
          <w:lang w:val="uk-UA"/>
        </w:rPr>
        <w:tab/>
      </w:r>
    </w:p>
    <w:p w:rsidR="0064581F" w:rsidRPr="0064581F" w:rsidRDefault="0064581F" w:rsidP="0064581F">
      <w:pPr>
        <w:tabs>
          <w:tab w:val="left" w:pos="3300"/>
        </w:tabs>
        <w:spacing w:line="264" w:lineRule="auto"/>
        <w:rPr>
          <w:sz w:val="26"/>
          <w:szCs w:val="26"/>
        </w:rPr>
      </w:pPr>
    </w:p>
    <w:p w:rsidR="00450BD5" w:rsidRPr="0064581F" w:rsidRDefault="00450BD5" w:rsidP="0064581F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10" w:rsidRDefault="00A14210" w:rsidP="00CC0987">
      <w:pPr>
        <w:spacing w:line="240" w:lineRule="auto"/>
      </w:pPr>
      <w:r>
        <w:separator/>
      </w:r>
    </w:p>
  </w:endnote>
  <w:endnote w:type="continuationSeparator" w:id="0">
    <w:p w:rsidR="00A14210" w:rsidRDefault="00A14210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10" w:rsidRDefault="00A14210" w:rsidP="00CC0987">
      <w:pPr>
        <w:spacing w:line="240" w:lineRule="auto"/>
      </w:pPr>
      <w:r>
        <w:separator/>
      </w:r>
    </w:p>
  </w:footnote>
  <w:footnote w:type="continuationSeparator" w:id="0">
    <w:p w:rsidR="00A14210" w:rsidRDefault="00A14210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F0771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A1421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F0771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A069EE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A14210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1316DD"/>
    <w:rsid w:val="00350BD4"/>
    <w:rsid w:val="003F1942"/>
    <w:rsid w:val="00450BD5"/>
    <w:rsid w:val="0064581F"/>
    <w:rsid w:val="006843CA"/>
    <w:rsid w:val="00955B3F"/>
    <w:rsid w:val="00A069EE"/>
    <w:rsid w:val="00A14210"/>
    <w:rsid w:val="00B53A43"/>
    <w:rsid w:val="00CC0987"/>
    <w:rsid w:val="00CF0771"/>
    <w:rsid w:val="00D53F3F"/>
    <w:rsid w:val="00DA1A55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F6F9-B5C6-4DC1-980F-D4E91D6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2023-03-06T11:50:00Z</dcterms:created>
  <dcterms:modified xsi:type="dcterms:W3CDTF">2023-03-06T11:50:00Z</dcterms:modified>
</cp:coreProperties>
</file>